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media/image1.webp" ContentType="image/webp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</w:pPr>
      <w:bookmarkStart w:id="0" w:name="_GoBack"/>
      <w:r>
        <w:rPr>
          <w:rStyle w:val="5"/>
          <w:rFonts w:ascii="华文仿宋" w:hAnsi="华文仿宋" w:eastAsia="华文仿宋" w:cs="华文仿宋"/>
          <w:color w:val="0052FF"/>
          <w:spacing w:val="6"/>
          <w:kern w:val="0"/>
          <w:sz w:val="32"/>
          <w:szCs w:val="32"/>
          <w:lang w:val="en-US" w:eastAsia="zh-CN" w:bidi="ar"/>
        </w:rPr>
        <w:t>2023年网络直播税收处理与风险防范（上）</w:t>
      </w:r>
      <w:bookmarkEnd w:id="0"/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7"/>
          <w:sz w:val="20"/>
          <w:szCs w:val="20"/>
          <w:shd w:val="clear" w:fill="FFFFFF"/>
        </w:rPr>
        <w:drawing>
          <wp:inline distT="0" distB="0" distL="114300" distR="114300">
            <wp:extent cx="4762500" cy="2600325"/>
            <wp:effectExtent l="0" t="0" r="7620" b="5715"/>
            <wp:docPr id="5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  <w:rPr>
          <w:rStyle w:val="5"/>
          <w:rFonts w:hint="eastAsia" w:ascii="华文仿宋" w:hAnsi="华文仿宋" w:eastAsia="华文仿宋" w:cs="华文仿宋"/>
          <w:color w:val="0052FF"/>
          <w:spacing w:val="6"/>
          <w:kern w:val="0"/>
          <w:sz w:val="24"/>
          <w:szCs w:val="24"/>
          <w:bdr w:val="none" w:color="auto" w:sz="0" w:space="0"/>
          <w:lang w:val="en-US" w:eastAsia="zh-CN" w:bidi="ar"/>
        </w:rPr>
      </w:pPr>
      <w:r>
        <w:rPr>
          <w:rStyle w:val="5"/>
          <w:rFonts w:hint="eastAsia" w:ascii="华文仿宋" w:hAnsi="华文仿宋" w:eastAsia="华文仿宋" w:cs="华文仿宋"/>
          <w:color w:val="0052FF"/>
          <w:spacing w:val="6"/>
          <w:kern w:val="0"/>
          <w:sz w:val="24"/>
          <w:szCs w:val="24"/>
          <w:bdr w:val="none" w:color="auto" w:sz="0" w:space="0"/>
          <w:lang w:val="en-US" w:eastAsia="zh-CN" w:bidi="ar"/>
        </w:rPr>
        <w:t>基本信息</w:t>
      </w:r>
    </w:p>
    <w:p>
      <w:pPr>
        <w:keepNext w:val="0"/>
        <w:keepLines w:val="0"/>
        <w:widowControl/>
        <w:suppressLineNumbers w:val="0"/>
        <w:jc w:val="left"/>
        <w:rPr>
          <w:rStyle w:val="5"/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Style w:val="5"/>
          <w:rFonts w:hint="eastAsia" w:ascii="华文仿宋" w:hAnsi="华文仿宋" w:eastAsia="华文仿宋" w:cs="华文仿宋"/>
          <w:color w:val="000000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活动时间：</w:t>
      </w:r>
      <w:r>
        <w:rPr>
          <w:rStyle w:val="5"/>
          <w:rFonts w:hint="eastAsia" w:ascii="华文仿宋" w:hAnsi="华文仿宋" w:cs="华文仿宋"/>
          <w:color w:val="000000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9</w:t>
      </w:r>
      <w:r>
        <w:rPr>
          <w:rStyle w:val="5"/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月</w:t>
      </w:r>
      <w:r>
        <w:rPr>
          <w:rStyle w:val="5"/>
          <w:rFonts w:hint="eastAsia" w:ascii="华文仿宋" w:hAnsi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22</w:t>
      </w:r>
      <w:r>
        <w:rPr>
          <w:rStyle w:val="5"/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日                           </w:t>
      </w:r>
      <w:r>
        <w:rPr>
          <w:rStyle w:val="5"/>
          <w:rFonts w:hint="eastAsia" w:ascii="华文仿宋" w:hAnsi="华文仿宋" w:eastAsia="华文仿宋" w:cs="华文仿宋"/>
          <w:color w:val="0052FF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  </w:t>
      </w:r>
      <w:r>
        <w:rPr>
          <w:rStyle w:val="5"/>
          <w:rFonts w:hint="eastAsia" w:ascii="华文仿宋" w:hAnsi="华文仿宋" w:eastAsia="华文仿宋" w:cs="华文仿宋"/>
          <w:color w:val="000000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参会三方：</w:t>
      </w:r>
      <w:r>
        <w:rPr>
          <w:rStyle w:val="5"/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内外资品牌方/MCN</w:t>
      </w:r>
    </w:p>
    <w:p>
      <w:pPr>
        <w:keepNext w:val="0"/>
        <w:keepLines w:val="0"/>
        <w:widowControl/>
        <w:suppressLineNumbers w:val="0"/>
        <w:jc w:val="left"/>
        <w:rPr>
          <w:rStyle w:val="5"/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Style w:val="5"/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负责人</w:t>
      </w:r>
      <w:r>
        <w:rPr>
          <w:rStyle w:val="5"/>
          <w:rFonts w:hint="eastAsia" w:ascii="华文仿宋" w:hAnsi="华文仿宋" w:eastAsia="华文仿宋" w:cs="华文仿宋"/>
          <w:color w:val="000000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参会方式：</w:t>
      </w:r>
      <w:r>
        <w:rPr>
          <w:rStyle w:val="5"/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观世线上会议中心          </w:t>
      </w:r>
      <w:r>
        <w:rPr>
          <w:rStyle w:val="5"/>
          <w:rFonts w:hint="eastAsia" w:ascii="华文仿宋" w:hAnsi="华文仿宋" w:eastAsia="华文仿宋" w:cs="华文仿宋"/>
          <w:color w:val="000000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   参会对象：</w:t>
      </w:r>
      <w:r>
        <w:rPr>
          <w:rStyle w:val="5"/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内外资财税经理人</w:t>
      </w:r>
    </w:p>
    <w:p>
      <w:pPr>
        <w:keepNext w:val="0"/>
        <w:keepLines w:val="0"/>
        <w:widowControl/>
        <w:suppressLineNumbers w:val="0"/>
        <w:jc w:val="left"/>
        <w:rPr>
          <w:rStyle w:val="5"/>
          <w:rFonts w:hint="eastAsia" w:ascii="华文仿宋" w:hAnsi="华文仿宋" w:eastAsia="华文仿宋" w:cs="华文仿宋"/>
          <w:b/>
          <w:bCs/>
          <w:color w:val="000000"/>
          <w:spacing w:val="6"/>
          <w:kern w:val="0"/>
          <w:sz w:val="18"/>
          <w:szCs w:val="18"/>
          <w:bdr w:val="none" w:color="auto" w:sz="0" w:space="0"/>
          <w:shd w:val="clear" w:fill="FFFFFF"/>
          <w:lang w:val="en-US" w:eastAsia="zh-CN" w:bidi="ar"/>
        </w:rPr>
      </w:pPr>
      <w:r>
        <w:rPr>
          <w:rStyle w:val="5"/>
          <w:rFonts w:hint="eastAsia" w:ascii="华文仿宋" w:hAnsi="华文仿宋" w:eastAsia="华文仿宋" w:cs="华文仿宋"/>
          <w:color w:val="000000"/>
          <w:spacing w:val="6"/>
          <w:kern w:val="0"/>
          <w:sz w:val="18"/>
          <w:szCs w:val="18"/>
          <w:bdr w:val="none" w:color="auto" w:sz="0" w:space="0"/>
          <w:shd w:val="clear" w:fill="FFFFFF"/>
          <w:lang w:val="en-US" w:eastAsia="zh-CN" w:bidi="ar"/>
        </w:rPr>
        <w:t>费        用：</w:t>
      </w:r>
      <w:r>
        <w:rPr>
          <w:rStyle w:val="5"/>
          <w:rFonts w:hint="eastAsia" w:ascii="华文仿宋" w:hAnsi="华文仿宋" w:eastAsia="华文仿宋" w:cs="华文仿宋"/>
          <w:b/>
          <w:bCs/>
          <w:color w:val="000000"/>
          <w:spacing w:val="6"/>
          <w:kern w:val="0"/>
          <w:sz w:val="18"/>
          <w:szCs w:val="18"/>
          <w:bdr w:val="none" w:color="auto" w:sz="0" w:space="0"/>
          <w:shd w:val="clear" w:fill="FFFFFF"/>
          <w:lang w:val="en-US" w:eastAsia="zh-CN" w:bidi="ar"/>
        </w:rPr>
        <w:t>会员/顾问免费，前15位免费体验名额；非税务顾问/会员1500元/位</w:t>
      </w:r>
    </w:p>
    <w:p>
      <w:pPr>
        <w:keepNext w:val="0"/>
        <w:keepLines w:val="0"/>
        <w:widowControl/>
        <w:suppressLineNumbers w:val="0"/>
        <w:jc w:val="left"/>
        <w:rPr>
          <w:rStyle w:val="5"/>
          <w:rFonts w:hint="eastAsia" w:ascii="华文仿宋" w:hAnsi="华文仿宋" w:eastAsia="华文仿宋" w:cs="华文仿宋"/>
          <w:color w:val="0052FF"/>
          <w:spacing w:val="6"/>
          <w:kern w:val="0"/>
          <w:sz w:val="24"/>
          <w:szCs w:val="24"/>
          <w:bdr w:val="none" w:color="auto" w:sz="0" w:space="0"/>
          <w:lang w:val="en-US" w:eastAsia="zh-CN" w:bidi="ar"/>
        </w:rPr>
      </w:pPr>
      <w:r>
        <w:rPr>
          <w:rStyle w:val="5"/>
          <w:rFonts w:hint="eastAsia" w:ascii="华文仿宋" w:hAnsi="华文仿宋" w:eastAsia="华文仿宋" w:cs="华文仿宋"/>
          <w:color w:val="0052FF"/>
          <w:spacing w:val="6"/>
          <w:kern w:val="0"/>
          <w:sz w:val="24"/>
          <w:szCs w:val="24"/>
          <w:bdr w:val="none" w:color="auto" w:sz="0" w:space="0"/>
          <w:lang w:val="en-US" w:eastAsia="zh-CN" w:bidi="ar"/>
        </w:rPr>
        <w:t>话题背景：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近年来，随着中国经济的高速发展和互联网技术的进步，直播带货作为一种新颖的商业模式，从鲜有人问津到如今的备受热捧，只隔了短短几年时间。随着该模式的吸金效益的逐渐显现，不少人相继投入直播带货的浪潮中，并涌现一批顶流主播。但是直播电商发展节节升高的背后却是日益增加的税收风险。故观世财税邀请到税收风险防范专家剖析案例，帮助大家答疑解惑。</w:t>
      </w:r>
    </w:p>
    <w:p>
      <w:pPr>
        <w:keepNext w:val="0"/>
        <w:keepLines w:val="0"/>
        <w:widowControl/>
        <w:suppressLineNumbers w:val="0"/>
        <w:jc w:val="left"/>
        <w:rPr>
          <w:rStyle w:val="5"/>
          <w:rFonts w:hint="eastAsia" w:ascii="华文仿宋" w:hAnsi="华文仿宋" w:eastAsia="华文仿宋" w:cs="华文仿宋"/>
          <w:color w:val="0052FF"/>
          <w:spacing w:val="6"/>
          <w:kern w:val="0"/>
          <w:sz w:val="24"/>
          <w:szCs w:val="24"/>
          <w:bdr w:val="none" w:color="auto" w:sz="0" w:space="0"/>
          <w:lang w:val="en-US" w:eastAsia="zh-CN" w:bidi="ar"/>
        </w:rPr>
      </w:pPr>
      <w:r>
        <w:rPr>
          <w:rStyle w:val="5"/>
          <w:rFonts w:hint="eastAsia" w:ascii="华文仿宋" w:hAnsi="华文仿宋" w:eastAsia="华文仿宋" w:cs="华文仿宋"/>
          <w:color w:val="0052FF"/>
          <w:spacing w:val="6"/>
          <w:kern w:val="0"/>
          <w:sz w:val="24"/>
          <w:szCs w:val="24"/>
          <w:bdr w:val="none" w:color="auto" w:sz="0" w:space="0"/>
          <w:lang w:val="en-US" w:eastAsia="zh-CN" w:bidi="ar"/>
        </w:rPr>
        <w:t>分享嘉宾：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牛老师：税务师、律师，20年财税工作经历，税收和法律功底深厚，实践工作经验丰富。专业财税培训十多年，上海国家会计学院、中华计网校等多家培训机构特聘讲师。在《中国财政》《中国税务报》《中国会计报》《注册税务师》《税收征纳》等刊报媒体发表文章200余篇。出版财税法律业务书籍十余本。教学中擅长结合大量税务稽查和司法审判案例，引导学员学习，不仅讲授财税政策、实务操作，更加注重财务人员的风险防范，在保障财务人员的执业安全，维护财务人员的合法权益等方面有深入的思考和研究。</w:t>
      </w:r>
    </w:p>
    <w:p>
      <w:pPr>
        <w:keepNext w:val="0"/>
        <w:keepLines w:val="0"/>
        <w:widowControl/>
        <w:suppressLineNumbers w:val="0"/>
        <w:jc w:val="left"/>
        <w:rPr>
          <w:rStyle w:val="5"/>
          <w:rFonts w:hint="eastAsia" w:ascii="华文仿宋" w:hAnsi="华文仿宋" w:eastAsia="华文仿宋" w:cs="华文仿宋"/>
          <w:color w:val="0052FF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Style w:val="5"/>
          <w:rFonts w:hint="eastAsia" w:ascii="华文仿宋" w:hAnsi="华文仿宋" w:eastAsia="华文仿宋" w:cs="华文仿宋"/>
          <w:color w:val="0052FF"/>
          <w:spacing w:val="6"/>
          <w:kern w:val="0"/>
          <w:sz w:val="24"/>
          <w:szCs w:val="24"/>
          <w:bdr w:val="none" w:color="auto" w:sz="0" w:space="0"/>
          <w:lang w:val="en-US" w:eastAsia="zh-CN" w:bidi="ar"/>
        </w:rPr>
        <w:t>时间安排：</w:t>
      </w:r>
      <w:r>
        <w:rPr>
          <w:rStyle w:val="5"/>
          <w:rFonts w:hint="eastAsia" w:ascii="华文仿宋" w:hAnsi="华文仿宋" w:eastAsia="华文仿宋" w:cs="华文仿宋"/>
          <w:color w:val="0052FF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9月22日</w:t>
      </w:r>
    </w:p>
    <w:p>
      <w:pPr>
        <w:keepNext w:val="0"/>
        <w:keepLines w:val="0"/>
        <w:widowControl/>
        <w:suppressLineNumbers w:val="0"/>
        <w:jc w:val="left"/>
        <w:rPr>
          <w:rStyle w:val="5"/>
          <w:rFonts w:hint="eastAsia" w:ascii="华文仿宋" w:hAnsi="华文仿宋" w:eastAsia="华文仿宋" w:cs="华文仿宋"/>
          <w:color w:val="0052FF"/>
          <w:spacing w:val="6"/>
          <w:kern w:val="0"/>
          <w:sz w:val="24"/>
          <w:szCs w:val="24"/>
          <w:bdr w:val="none" w:color="auto" w:sz="0" w:space="0"/>
          <w:lang w:val="en-US" w:eastAsia="zh-CN" w:bidi="ar"/>
        </w:rPr>
      </w:pPr>
      <w:r>
        <w:rPr>
          <w:rStyle w:val="5"/>
          <w:rFonts w:hint="eastAsia" w:ascii="华文仿宋" w:hAnsi="华文仿宋" w:eastAsia="华文仿宋" w:cs="华文仿宋"/>
          <w:color w:val="0052FF"/>
          <w:spacing w:val="6"/>
          <w:kern w:val="0"/>
          <w:sz w:val="24"/>
          <w:szCs w:val="24"/>
          <w:bdr w:val="none" w:color="auto" w:sz="0" w:space="0"/>
          <w:lang w:val="en-US" w:eastAsia="zh-CN" w:bidi="ar"/>
        </w:rPr>
        <w:t>内容：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要点——网络直播商业模式的涉税风险及注意事项；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要点——网络主播个税问题与风险防范；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要点——网络主播转变收入性质税收风险与注意事项；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案例——网红带货和佣金收入税务案例解读及分享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实操——网红主播税务处理与风险防范；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Style w:val="5"/>
          <w:rFonts w:hint="eastAsia" w:ascii="华文仿宋" w:hAnsi="华文仿宋" w:eastAsia="华文仿宋" w:cs="华文仿宋"/>
          <w:color w:val="0052FF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b/>
          <w:color w:val="0052FF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一、</w:t>
      </w:r>
      <w:r>
        <w:rPr>
          <w:rStyle w:val="5"/>
          <w:rFonts w:hint="eastAsia" w:ascii="华文仿宋" w:hAnsi="华文仿宋" w:eastAsia="华文仿宋" w:cs="华文仿宋"/>
          <w:color w:val="0052FF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网络直播概况与商业模式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（一）明星主播等高收入人群成为税收征管重点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（二）网络直播概述与发展情况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（三）网络直播类型与特点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（四）网络直播收入与商业模式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Style w:val="5"/>
          <w:rFonts w:hint="eastAsia" w:ascii="华文仿宋" w:hAnsi="华文仿宋" w:eastAsia="华文仿宋" w:cs="华文仿宋"/>
          <w:color w:val="0052FF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Style w:val="5"/>
          <w:rFonts w:hint="eastAsia" w:ascii="华文仿宋" w:hAnsi="华文仿宋" w:eastAsia="华文仿宋" w:cs="华文仿宋"/>
          <w:color w:val="0052FF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二、网络主播个税问题与风险防范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（一）劳务报酬所得和经营所得的区分及风险防范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（二）劳务报酬所得和工资薪金的区分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（三）主播收入的定性和征收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（四）网络主播的个人所得税扣缴问题及风险防范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（五）不同模式的具体税务问题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（六）直播带货风险防范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Style w:val="5"/>
          <w:rFonts w:hint="eastAsia" w:ascii="华文仿宋" w:hAnsi="华文仿宋" w:eastAsia="华文仿宋" w:cs="华文仿宋"/>
          <w:color w:val="0052FF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Style w:val="5"/>
          <w:rFonts w:hint="eastAsia" w:ascii="华文仿宋" w:hAnsi="华文仿宋" w:eastAsia="华文仿宋" w:cs="华文仿宋"/>
          <w:color w:val="0052FF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三、网络主播转变收入性质税收风险与注意事项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（一）关于劳务报酬与经营所得注意事项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（二）核定征收政策规定与严格监管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（三）网络主播转变收入性质税收风险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Style w:val="5"/>
          <w:rFonts w:hint="eastAsia" w:ascii="华文仿宋" w:hAnsi="华文仿宋" w:eastAsia="华文仿宋" w:cs="华文仿宋"/>
          <w:color w:val="0052FF"/>
          <w:spacing w:val="6"/>
          <w:kern w:val="0"/>
          <w:sz w:val="18"/>
          <w:szCs w:val="18"/>
          <w:lang w:val="en-US" w:eastAsia="zh-CN" w:bidi="ar"/>
        </w:rPr>
      </w:pPr>
      <w:r>
        <w:rPr>
          <w:rStyle w:val="5"/>
          <w:rFonts w:hint="eastAsia" w:ascii="华文仿宋" w:hAnsi="华文仿宋" w:eastAsia="华文仿宋" w:cs="华文仿宋"/>
          <w:color w:val="0052FF"/>
          <w:spacing w:val="6"/>
          <w:kern w:val="0"/>
          <w:sz w:val="18"/>
          <w:szCs w:val="18"/>
          <w:lang w:val="en-US" w:eastAsia="zh-CN" w:bidi="ar"/>
        </w:rPr>
        <w:t>四</w:t>
      </w:r>
      <w:r>
        <w:rPr>
          <w:rStyle w:val="5"/>
          <w:rFonts w:hint="eastAsia" w:ascii="华文仿宋" w:hAnsi="华文仿宋" w:cs="华文仿宋"/>
          <w:color w:val="0052FF"/>
          <w:spacing w:val="6"/>
          <w:kern w:val="0"/>
          <w:sz w:val="18"/>
          <w:szCs w:val="18"/>
          <w:lang w:val="en-US" w:eastAsia="zh-CN" w:bidi="ar"/>
        </w:rPr>
        <w:t>、</w:t>
      </w:r>
      <w:r>
        <w:rPr>
          <w:rStyle w:val="5"/>
          <w:rFonts w:hint="eastAsia" w:ascii="华文仿宋" w:hAnsi="华文仿宋" w:eastAsia="华文仿宋" w:cs="华文仿宋"/>
          <w:color w:val="0052FF"/>
          <w:spacing w:val="6"/>
          <w:kern w:val="0"/>
          <w:sz w:val="18"/>
          <w:szCs w:val="18"/>
          <w:lang w:val="en-US" w:eastAsia="zh-CN" w:bidi="ar"/>
        </w:rPr>
        <w:t>网络主播税收风险防范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（一）税务筹划误区与风险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（二）莫把偷税当筹划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bdr w:val="none" w:color="auto" w:sz="0" w:space="0"/>
          <w:lang w:val="en-US" w:eastAsia="zh-CN" w:bidi="ar"/>
        </w:rPr>
        <w:t>（三）正确理解政策，享受优惠红利</w:t>
      </w:r>
    </w:p>
    <w:p>
      <w:pPr>
        <w:jc w:val="left"/>
        <w:rPr>
          <w:rFonts w:ascii="华文仿宋" w:hAnsi="华文仿宋" w:eastAsia="华文仿宋"/>
          <w:b/>
          <w:bCs/>
          <w:sz w:val="28"/>
          <w:szCs w:val="28"/>
        </w:rPr>
      </w:pPr>
      <w:r>
        <w:rPr>
          <w:rFonts w:hint="eastAsia" w:ascii="华文仿宋" w:hAnsi="华文仿宋" w:eastAsia="华文仿宋"/>
          <w:b/>
          <w:bCs/>
          <w:sz w:val="28"/>
          <w:szCs w:val="28"/>
        </w:rPr>
        <w:t>注意事项：</w:t>
      </w:r>
    </w:p>
    <w:p>
      <w:pPr>
        <w:pStyle w:val="6"/>
        <w:numPr>
          <w:ilvl w:val="0"/>
          <w:numId w:val="1"/>
        </w:numPr>
        <w:ind w:firstLineChars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lang w:val="en-US" w:eastAsia="zh-CN" w:bidi="ar"/>
        </w:rPr>
        <w:t>若您确认参与本活动请尽快联系我们，便于安排席位；</w:t>
      </w:r>
    </w:p>
    <w:p>
      <w:pPr>
        <w:pStyle w:val="6"/>
        <w:numPr>
          <w:ilvl w:val="0"/>
          <w:numId w:val="1"/>
        </w:numPr>
        <w:ind w:firstLineChars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lang w:val="en-US" w:eastAsia="zh-CN" w:bidi="ar"/>
        </w:rPr>
        <w:t>若您有相关问题须同活动嘉宾互动请事先联系我们；或可在评论去进行提问，我们将24小时为您提供解答支持。</w:t>
      </w:r>
    </w:p>
    <w:p>
      <w:pPr>
        <w:pStyle w:val="6"/>
        <w:numPr>
          <w:ilvl w:val="0"/>
          <w:numId w:val="1"/>
        </w:numPr>
        <w:ind w:firstLineChars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lang w:val="en-US" w:eastAsia="zh-CN" w:bidi="ar"/>
        </w:rPr>
        <w:t>若已报名，参会通知或提示将于1-2个工作日发送至您的微信或邮箱，若未收到，请您联系我们。</w:t>
      </w:r>
    </w:p>
    <w:p>
      <w:pPr>
        <w:pStyle w:val="6"/>
        <w:numPr>
          <w:ilvl w:val="0"/>
          <w:numId w:val="1"/>
        </w:numPr>
        <w:ind w:firstLineChars="0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lang w:val="en-US" w:eastAsia="zh-CN" w:bidi="ar"/>
        </w:rPr>
        <w:t>不排除不可抗力或特殊要素导致活动延期、变动，若发生该情况我们会第一时间通知您。</w:t>
      </w:r>
    </w:p>
    <w:p>
      <w:pPr>
        <w:pStyle w:val="6"/>
        <w:jc w:val="left"/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lang w:val="en-US" w:eastAsia="zh-CN" w:bidi="ar"/>
        </w:rPr>
      </w:pPr>
      <w:r>
        <w:rPr>
          <w:rFonts w:hint="eastAsia" w:ascii="华文仿宋" w:hAnsi="华文仿宋" w:eastAsia="华文仿宋" w:cs="华文仿宋"/>
          <w:spacing w:val="6"/>
          <w:kern w:val="0"/>
          <w:sz w:val="18"/>
          <w:szCs w:val="18"/>
          <w:lang w:val="en-US" w:eastAsia="zh-CN" w:bidi="ar"/>
        </w:rPr>
        <w:t>非常感谢您的耐心阅读，如您有其他问题可直接联系对应的客服伙伴，或拨打400 628 6669.</w:t>
      </w:r>
    </w:p>
    <w:p>
      <w:pPr>
        <w:jc w:val="left"/>
        <w:rPr>
          <w:rFonts w:ascii="华文仿宋" w:hAnsi="华文仿宋" w:eastAsia="华文仿宋"/>
          <w:sz w:val="24"/>
          <w:szCs w:val="24"/>
        </w:rPr>
      </w:pPr>
    </w:p>
    <w:p>
      <w:pPr>
        <w:keepNext w:val="0"/>
        <w:keepLines w:val="0"/>
        <w:widowControl/>
        <w:numPr>
          <w:numId w:val="0"/>
        </w:numPr>
        <w:suppressLineNumbers w:val="0"/>
        <w:jc w:val="left"/>
      </w:pPr>
    </w:p>
    <w:p>
      <w:pPr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527"/>
    <w:multiLevelType w:val="multilevel"/>
    <w:tmpl w:val="085E2527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U4ZWQzNzQ3MWZkZmFlMDA2OTE4NmIyOTA3M2VjNzQifQ=="/>
  </w:docVars>
  <w:rsids>
    <w:rsidRoot w:val="7AED1B30"/>
    <w:rsid w:val="14732F9B"/>
    <w:rsid w:val="4DB97D66"/>
    <w:rsid w:val="7AED1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eastAsia="华文仿宋" w:cs="华文仿宋" w:asciiTheme="minorHAnsi" w:hAnsiTheme="minorHAnsi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paragraph" w:styleId="6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webp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2024-05-07T07:28:00Z</dcterms:created>
  <dc:creator>流云</dc:creator>
  <cp:lastModifiedBy>流云</cp:lastModifiedBy>
  <dcterms:modified xsi:type="dcterms:W3CDTF">2024-05-07T07:38:51Z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48E87E455D7A4C798EC609CC4874C93C_13</vt:lpwstr>
  </property>
</Properties>
</file>